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A7" w:rsidRDefault="00E7661C">
      <w:r>
        <w:rPr>
          <w:noProof/>
        </w:rPr>
        <w:drawing>
          <wp:inline distT="0" distB="0" distL="0" distR="0" wp14:anchorId="2E006E9C">
            <wp:extent cx="9138920" cy="695007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8920" cy="6950075"/>
                    </a:xfrm>
                    <a:prstGeom prst="rect">
                      <a:avLst/>
                    </a:prstGeom>
                    <a:noFill/>
                  </pic:spPr>
                </pic:pic>
              </a:graphicData>
            </a:graphic>
          </wp:inline>
        </w:drawing>
      </w:r>
    </w:p>
    <w:p w:rsidR="00CD3490" w:rsidRPr="00CD3490" w:rsidRDefault="00CD3490" w:rsidP="00CD3490">
      <w:pPr>
        <w:spacing w:after="0"/>
        <w:rPr>
          <w:rFonts w:asciiTheme="majorHAnsi" w:hAnsiTheme="majorHAnsi" w:cstheme="majorHAnsi"/>
          <w:sz w:val="24"/>
          <w:szCs w:val="24"/>
        </w:rPr>
      </w:pPr>
      <w:r w:rsidRPr="00CD3490">
        <w:rPr>
          <w:rFonts w:asciiTheme="majorHAnsi" w:hAnsiTheme="majorHAnsi" w:cstheme="majorHAnsi"/>
          <w:b/>
          <w:bCs/>
          <w:sz w:val="24"/>
          <w:szCs w:val="24"/>
        </w:rPr>
        <w:lastRenderedPageBreak/>
        <w:t xml:space="preserve">SBHC Ideal Services Defined </w:t>
      </w:r>
      <w:r w:rsidRPr="00CD3490">
        <w:rPr>
          <w:rFonts w:asciiTheme="majorHAnsi" w:hAnsiTheme="majorHAnsi" w:cstheme="majorHAnsi"/>
          <w:sz w:val="24"/>
          <w:szCs w:val="24"/>
        </w:rPr>
        <w:t>- SBHCs are a cost-effective model offering accessible health services to children and adolescents in school. They address health disparities and social determinants of health, promote health literacy, and improve academic outcomes by keeping students in the classroom and ready learn.</w:t>
      </w:r>
    </w:p>
    <w:p w:rsidR="00CD3490" w:rsidRPr="00CD3490" w:rsidRDefault="00CD3490" w:rsidP="00CD3490">
      <w:pPr>
        <w:spacing w:after="0"/>
        <w:rPr>
          <w:rFonts w:asciiTheme="majorHAnsi" w:hAnsiTheme="majorHAnsi" w:cstheme="majorHAnsi"/>
          <w:sz w:val="24"/>
          <w:szCs w:val="24"/>
        </w:rPr>
      </w:pPr>
    </w:p>
    <w:p w:rsidR="00CD3490" w:rsidRPr="00CD3490" w:rsidRDefault="00CD3490" w:rsidP="00CD3490">
      <w:pPr>
        <w:numPr>
          <w:ilvl w:val="0"/>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b/>
          <w:bCs/>
          <w:color w:val="000000" w:themeColor="text1"/>
          <w:kern w:val="24"/>
          <w:sz w:val="24"/>
          <w:szCs w:val="24"/>
        </w:rPr>
        <w:t>Population Health &amp; Preventative Services- Community-Based:</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Attend family-oriented school events: B2SN, multi-cultural night, resource fairs</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Coordinate outside resources</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Facilitate/Support Parent Groups (budgeting, healthy eating, navigating social services)</w:t>
      </w:r>
    </w:p>
    <w:p w:rsidR="00CD3490" w:rsidRPr="00CD3490" w:rsidRDefault="00CD3490" w:rsidP="00CD3490">
      <w:pPr>
        <w:numPr>
          <w:ilvl w:val="0"/>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b/>
          <w:bCs/>
          <w:color w:val="000000" w:themeColor="text1"/>
          <w:kern w:val="24"/>
          <w:sz w:val="24"/>
          <w:szCs w:val="24"/>
        </w:rPr>
        <w:t>School Coordination and Engagement  Services:</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Attend school staff and committee mtgs (PBIS, SIT, Safety, etc.)</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Coordinate with school staff regarding high risk students</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Work with school administration to develop policies and procedures regarding health and wellness</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 xml:space="preserve">Provide crisis response and support </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Provide subject matter expertise on health topics and student population</w:t>
      </w:r>
    </w:p>
    <w:p w:rsidR="00CD3490" w:rsidRPr="00CD3490" w:rsidRDefault="00CD3490" w:rsidP="00CD3490">
      <w:pPr>
        <w:numPr>
          <w:ilvl w:val="0"/>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b/>
          <w:bCs/>
          <w:color w:val="000000" w:themeColor="text1"/>
          <w:kern w:val="24"/>
          <w:sz w:val="24"/>
          <w:szCs w:val="24"/>
        </w:rPr>
        <w:t>Youth-Based Population Health and Preventative Services</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Student groups (anger management, nutrition, coping with stress/anxiety)</w:t>
      </w:r>
    </w:p>
    <w:p w:rsidR="00CD3490" w:rsidRPr="00CD3490" w:rsidRDefault="00CD3490" w:rsidP="00CD3490">
      <w:pPr>
        <w:numPr>
          <w:ilvl w:val="1"/>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Health education in classrooms</w:t>
      </w:r>
    </w:p>
    <w:p w:rsidR="00CD3490" w:rsidRPr="00CD3490" w:rsidRDefault="00CD3490" w:rsidP="00CD3490">
      <w:pPr>
        <w:numPr>
          <w:ilvl w:val="0"/>
          <w:numId w:val="1"/>
        </w:num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b/>
          <w:bCs/>
          <w:color w:val="000000" w:themeColor="text1"/>
          <w:kern w:val="24"/>
          <w:sz w:val="24"/>
          <w:szCs w:val="24"/>
        </w:rPr>
        <w:t>Integrated mental, physical and oral healthcare services:</w:t>
      </w:r>
    </w:p>
    <w:p w:rsidR="00CD3490" w:rsidRDefault="00CD3490" w:rsidP="00CD3490">
      <w:pPr>
        <w:spacing w:after="0" w:line="216" w:lineRule="auto"/>
        <w:ind w:left="1080"/>
        <w:contextualSpacing/>
        <w:rPr>
          <w:rFonts w:asciiTheme="majorHAnsi" w:eastAsiaTheme="minorEastAsia" w:hAnsiTheme="majorHAnsi" w:cstheme="majorHAnsi"/>
          <w:color w:val="000000" w:themeColor="text1"/>
          <w:kern w:val="24"/>
          <w:sz w:val="24"/>
          <w:szCs w:val="24"/>
        </w:rPr>
        <w:sectPr w:rsidR="00CD3490" w:rsidSect="00E7661C">
          <w:pgSz w:w="15840" w:h="12240" w:orient="landscape"/>
          <w:pgMar w:top="720" w:right="720" w:bottom="720" w:left="720" w:header="720" w:footer="720" w:gutter="0"/>
          <w:cols w:space="720"/>
          <w:docGrid w:linePitch="360"/>
        </w:sectPr>
      </w:pPr>
    </w:p>
    <w:p w:rsidR="00CD3490" w:rsidRPr="00CD3490" w:rsidRDefault="00CD3490" w:rsidP="00CD3490">
      <w:pPr>
        <w:spacing w:after="0" w:line="216" w:lineRule="auto"/>
        <w:ind w:left="2160"/>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Well-child exams</w:t>
      </w:r>
      <w:r>
        <w:rPr>
          <w:rFonts w:asciiTheme="majorHAnsi" w:eastAsiaTheme="minorEastAsia" w:hAnsiTheme="majorHAnsi" w:cstheme="majorHAnsi"/>
          <w:color w:val="000000" w:themeColor="text1"/>
          <w:kern w:val="24"/>
          <w:sz w:val="24"/>
          <w:szCs w:val="24"/>
        </w:rPr>
        <w:tab/>
      </w:r>
      <w:r>
        <w:rPr>
          <w:rFonts w:asciiTheme="majorHAnsi" w:eastAsiaTheme="minorEastAsia" w:hAnsiTheme="majorHAnsi" w:cstheme="majorHAnsi"/>
          <w:color w:val="000000" w:themeColor="text1"/>
          <w:kern w:val="24"/>
          <w:sz w:val="24"/>
          <w:szCs w:val="24"/>
        </w:rPr>
        <w:tab/>
      </w:r>
      <w:r>
        <w:rPr>
          <w:rFonts w:asciiTheme="majorHAnsi" w:eastAsiaTheme="minorEastAsia" w:hAnsiTheme="majorHAnsi" w:cstheme="majorHAnsi"/>
          <w:color w:val="000000" w:themeColor="text1"/>
          <w:kern w:val="24"/>
          <w:sz w:val="24"/>
          <w:szCs w:val="24"/>
        </w:rPr>
        <w:tab/>
      </w:r>
      <w:r>
        <w:rPr>
          <w:rFonts w:asciiTheme="majorHAnsi" w:eastAsiaTheme="minorEastAsia" w:hAnsiTheme="majorHAnsi" w:cstheme="majorHAnsi"/>
          <w:color w:val="000000" w:themeColor="text1"/>
          <w:kern w:val="24"/>
          <w:sz w:val="24"/>
          <w:szCs w:val="24"/>
        </w:rPr>
        <w:tab/>
      </w:r>
    </w:p>
    <w:p w:rsidR="00CD3490" w:rsidRPr="00CD3490" w:rsidRDefault="00CD3490" w:rsidP="00CD3490">
      <w:pPr>
        <w:spacing w:after="0" w:line="216" w:lineRule="auto"/>
        <w:ind w:left="2160"/>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Immunizations</w:t>
      </w:r>
    </w:p>
    <w:p w:rsidR="00CD3490" w:rsidRPr="00CD3490" w:rsidRDefault="00CD3490" w:rsidP="00CD3490">
      <w:pPr>
        <w:spacing w:after="0" w:line="216" w:lineRule="auto"/>
        <w:ind w:left="2160"/>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Preventive and primary dental care</w:t>
      </w:r>
    </w:p>
    <w:p w:rsidR="00CD3490" w:rsidRPr="00CD3490" w:rsidRDefault="00CD3490" w:rsidP="00CD3490">
      <w:pPr>
        <w:spacing w:after="0" w:line="216" w:lineRule="auto"/>
        <w:ind w:left="2160"/>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Mental health counseling</w:t>
      </w:r>
    </w:p>
    <w:p w:rsidR="00CD3490" w:rsidRPr="00CD3490" w:rsidRDefault="00CD3490" w:rsidP="00CD3490">
      <w:pPr>
        <w:spacing w:after="0" w:line="216" w:lineRule="auto"/>
        <w:ind w:left="2160"/>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Behavioral health counseling</w:t>
      </w:r>
    </w:p>
    <w:p w:rsidR="00CD3490" w:rsidRPr="00CD3490" w:rsidRDefault="00CD3490" w:rsidP="00CD3490">
      <w:p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Family planning</w:t>
      </w:r>
    </w:p>
    <w:p w:rsidR="00CD3490" w:rsidRPr="00CD3490" w:rsidRDefault="00CD3490" w:rsidP="00CD3490">
      <w:p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Chronic disease management</w:t>
      </w:r>
    </w:p>
    <w:p w:rsidR="00CD3490" w:rsidRPr="00CD3490" w:rsidRDefault="00CD3490" w:rsidP="00CD3490">
      <w:p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Screenings (depression, substance abuse)</w:t>
      </w:r>
    </w:p>
    <w:p w:rsidR="00CD3490" w:rsidRPr="00CD3490" w:rsidRDefault="00CD3490" w:rsidP="00CD3490">
      <w:pPr>
        <w:spacing w:after="0" w:line="216" w:lineRule="auto"/>
        <w:contextualSpacing/>
        <w:rPr>
          <w:rFonts w:asciiTheme="majorHAnsi" w:eastAsia="Times New Roman" w:hAnsiTheme="majorHAnsi" w:cstheme="majorHAnsi"/>
          <w:sz w:val="24"/>
          <w:szCs w:val="24"/>
        </w:rPr>
      </w:pPr>
      <w:r w:rsidRPr="00CD3490">
        <w:rPr>
          <w:rFonts w:asciiTheme="majorHAnsi" w:eastAsiaTheme="minorEastAsia" w:hAnsiTheme="majorHAnsi" w:cstheme="majorHAnsi"/>
          <w:color w:val="000000" w:themeColor="text1"/>
          <w:kern w:val="24"/>
          <w:sz w:val="24"/>
          <w:szCs w:val="24"/>
        </w:rPr>
        <w:t>Health education</w:t>
      </w:r>
    </w:p>
    <w:p w:rsidR="00CD3490" w:rsidRPr="00CD3490" w:rsidRDefault="00CD3490" w:rsidP="00CD3490">
      <w:pPr>
        <w:spacing w:after="0" w:line="216" w:lineRule="auto"/>
        <w:contextualSpacing/>
        <w:rPr>
          <w:rFonts w:ascii="Times New Roman" w:eastAsia="Times New Roman" w:hAnsi="Times New Roman" w:cs="Times New Roman"/>
          <w:sz w:val="24"/>
          <w:szCs w:val="24"/>
        </w:rPr>
      </w:pPr>
      <w:r w:rsidRPr="00CD3490">
        <w:rPr>
          <w:rFonts w:asciiTheme="majorHAnsi" w:eastAsiaTheme="minorEastAsia" w:hAnsiTheme="majorHAnsi" w:cstheme="majorHAnsi"/>
          <w:color w:val="000000" w:themeColor="text1"/>
          <w:kern w:val="24"/>
          <w:sz w:val="24"/>
          <w:szCs w:val="24"/>
        </w:rPr>
        <w:t>Panel management outreach and coordination</w:t>
      </w:r>
    </w:p>
    <w:p w:rsidR="00CD3490" w:rsidRDefault="00CD3490" w:rsidP="00CD3490">
      <w:pPr>
        <w:spacing w:line="216" w:lineRule="auto"/>
        <w:sectPr w:rsidR="00CD3490" w:rsidSect="00CD3490">
          <w:type w:val="continuous"/>
          <w:pgSz w:w="15840" w:h="12240" w:orient="landscape"/>
          <w:pgMar w:top="720" w:right="720" w:bottom="720" w:left="720" w:header="720" w:footer="720" w:gutter="0"/>
          <w:cols w:num="2" w:space="720"/>
          <w:docGrid w:linePitch="360"/>
        </w:sectPr>
      </w:pPr>
    </w:p>
    <w:p w:rsidR="00CD3490" w:rsidRPr="00CD3490" w:rsidRDefault="00CD3490" w:rsidP="00CD3490">
      <w:pPr>
        <w:spacing w:line="216" w:lineRule="auto"/>
      </w:pPr>
    </w:p>
    <w:p w:rsidR="00CD3490" w:rsidRDefault="00CD3490" w:rsidP="00CD3490">
      <w:pPr>
        <w:ind w:left="1080"/>
      </w:pPr>
      <w:r w:rsidRPr="00CD3490">
        <w:rPr>
          <w:noProof/>
        </w:rPr>
        <w:drawing>
          <wp:inline distT="0" distB="0" distL="0" distR="0" wp14:anchorId="4FA725C3" wp14:editId="5A60804E">
            <wp:extent cx="1897380" cy="24434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2443480"/>
                    </a:xfrm>
                    <a:prstGeom prst="rect">
                      <a:avLst/>
                    </a:prstGeom>
                    <a:noFill/>
                  </pic:spPr>
                </pic:pic>
              </a:graphicData>
            </a:graphic>
          </wp:inline>
        </w:drawing>
      </w:r>
      <w:bookmarkStart w:id="0" w:name="_GoBack"/>
      <w:bookmarkEnd w:id="0"/>
    </w:p>
    <w:sectPr w:rsidR="00CD3490" w:rsidSect="00CD3490">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01A6"/>
    <w:multiLevelType w:val="hybridMultilevel"/>
    <w:tmpl w:val="56D81802"/>
    <w:lvl w:ilvl="0" w:tplc="405EA4A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2F85B6C" w:tentative="1">
      <w:start w:val="1"/>
      <w:numFmt w:val="bullet"/>
      <w:lvlText w:val="•"/>
      <w:lvlJc w:val="left"/>
      <w:pPr>
        <w:tabs>
          <w:tab w:val="num" w:pos="2160"/>
        </w:tabs>
        <w:ind w:left="2160" w:hanging="360"/>
      </w:pPr>
      <w:rPr>
        <w:rFonts w:ascii="Arial" w:hAnsi="Arial" w:hint="default"/>
      </w:rPr>
    </w:lvl>
    <w:lvl w:ilvl="3" w:tplc="96D84574" w:tentative="1">
      <w:start w:val="1"/>
      <w:numFmt w:val="bullet"/>
      <w:lvlText w:val="•"/>
      <w:lvlJc w:val="left"/>
      <w:pPr>
        <w:tabs>
          <w:tab w:val="num" w:pos="2880"/>
        </w:tabs>
        <w:ind w:left="2880" w:hanging="360"/>
      </w:pPr>
      <w:rPr>
        <w:rFonts w:ascii="Arial" w:hAnsi="Arial" w:hint="default"/>
      </w:rPr>
    </w:lvl>
    <w:lvl w:ilvl="4" w:tplc="C5C48B14" w:tentative="1">
      <w:start w:val="1"/>
      <w:numFmt w:val="bullet"/>
      <w:lvlText w:val="•"/>
      <w:lvlJc w:val="left"/>
      <w:pPr>
        <w:tabs>
          <w:tab w:val="num" w:pos="3600"/>
        </w:tabs>
        <w:ind w:left="3600" w:hanging="360"/>
      </w:pPr>
      <w:rPr>
        <w:rFonts w:ascii="Arial" w:hAnsi="Arial" w:hint="default"/>
      </w:rPr>
    </w:lvl>
    <w:lvl w:ilvl="5" w:tplc="09AC6E1A" w:tentative="1">
      <w:start w:val="1"/>
      <w:numFmt w:val="bullet"/>
      <w:lvlText w:val="•"/>
      <w:lvlJc w:val="left"/>
      <w:pPr>
        <w:tabs>
          <w:tab w:val="num" w:pos="4320"/>
        </w:tabs>
        <w:ind w:left="4320" w:hanging="360"/>
      </w:pPr>
      <w:rPr>
        <w:rFonts w:ascii="Arial" w:hAnsi="Arial" w:hint="default"/>
      </w:rPr>
    </w:lvl>
    <w:lvl w:ilvl="6" w:tplc="3F146E14" w:tentative="1">
      <w:start w:val="1"/>
      <w:numFmt w:val="bullet"/>
      <w:lvlText w:val="•"/>
      <w:lvlJc w:val="left"/>
      <w:pPr>
        <w:tabs>
          <w:tab w:val="num" w:pos="5040"/>
        </w:tabs>
        <w:ind w:left="5040" w:hanging="360"/>
      </w:pPr>
      <w:rPr>
        <w:rFonts w:ascii="Arial" w:hAnsi="Arial" w:hint="default"/>
      </w:rPr>
    </w:lvl>
    <w:lvl w:ilvl="7" w:tplc="4E9400EA" w:tentative="1">
      <w:start w:val="1"/>
      <w:numFmt w:val="bullet"/>
      <w:lvlText w:val="•"/>
      <w:lvlJc w:val="left"/>
      <w:pPr>
        <w:tabs>
          <w:tab w:val="num" w:pos="5760"/>
        </w:tabs>
        <w:ind w:left="5760" w:hanging="360"/>
      </w:pPr>
      <w:rPr>
        <w:rFonts w:ascii="Arial" w:hAnsi="Arial" w:hint="default"/>
      </w:rPr>
    </w:lvl>
    <w:lvl w:ilvl="8" w:tplc="738084C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1C"/>
    <w:rsid w:val="00C748A7"/>
    <w:rsid w:val="00CD3490"/>
    <w:rsid w:val="00E7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721B4"/>
  <w15:chartTrackingRefBased/>
  <w15:docId w15:val="{64CC84D4-D60D-48CC-AA1C-F4E09DD0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Alexander</dc:creator>
  <cp:keywords/>
  <dc:description/>
  <cp:lastModifiedBy>Tammy Alexander</cp:lastModifiedBy>
  <cp:revision>2</cp:revision>
  <dcterms:created xsi:type="dcterms:W3CDTF">2018-04-11T19:11:00Z</dcterms:created>
  <dcterms:modified xsi:type="dcterms:W3CDTF">2018-04-11T19:11:00Z</dcterms:modified>
</cp:coreProperties>
</file>